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3D7" w:rsidRPr="000C5CA3" w:rsidRDefault="00D063D7" w:rsidP="000C5CA3">
      <w:pPr>
        <w:spacing w:line="240" w:lineRule="exact"/>
        <w:rPr>
          <w:rFonts w:ascii="微软雅黑" w:eastAsia="微软雅黑" w:hAnsi="微软雅黑" w:cs="宋体" w:hint="eastAsia"/>
          <w:kern w:val="0"/>
          <w:sz w:val="22"/>
          <w:szCs w:val="22"/>
        </w:rPr>
      </w:pPr>
    </w:p>
    <w:p w:rsidR="00D063D7" w:rsidRPr="000C5CA3" w:rsidRDefault="005E78F7" w:rsidP="002E05E4">
      <w:pPr>
        <w:spacing w:line="600" w:lineRule="exact"/>
        <w:jc w:val="center"/>
        <w:rPr>
          <w:rFonts w:ascii="微软雅黑" w:eastAsia="微软雅黑" w:hAnsi="微软雅黑" w:cs="Arial"/>
          <w:b/>
          <w:color w:val="FF0000"/>
          <w:kern w:val="0"/>
          <w:sz w:val="40"/>
          <w:szCs w:val="40"/>
        </w:rPr>
      </w:pPr>
      <w:r w:rsidRPr="000C5CA3">
        <w:rPr>
          <w:rFonts w:ascii="微软雅黑" w:eastAsia="微软雅黑" w:hAnsi="微软雅黑" w:cs="宋体" w:hint="eastAsia"/>
          <w:b/>
          <w:color w:val="FF0000"/>
          <w:kern w:val="0"/>
          <w:sz w:val="40"/>
          <w:szCs w:val="40"/>
        </w:rPr>
        <w:t>中华人民共和国领事特权与豁免条例</w:t>
      </w:r>
    </w:p>
    <w:p w:rsidR="00D063D7" w:rsidRDefault="00D063D7" w:rsidP="000C5CA3">
      <w:pPr>
        <w:spacing w:line="240" w:lineRule="exact"/>
        <w:rPr>
          <w:rFonts w:ascii="微软雅黑" w:eastAsia="微软雅黑" w:hAnsi="微软雅黑" w:cs="宋体"/>
          <w:kern w:val="0"/>
          <w:sz w:val="22"/>
          <w:szCs w:val="22"/>
        </w:rPr>
      </w:pPr>
    </w:p>
    <w:p w:rsidR="002E05E4" w:rsidRDefault="002E05E4" w:rsidP="002E05E4">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1990-10-30</w:t>
      </w:r>
    </w:p>
    <w:p w:rsidR="002E05E4" w:rsidRPr="000C5CA3" w:rsidRDefault="002E05E4" w:rsidP="000C5CA3">
      <w:pPr>
        <w:spacing w:line="240" w:lineRule="exact"/>
        <w:rPr>
          <w:rFonts w:ascii="微软雅黑" w:eastAsia="微软雅黑" w:hAnsi="微软雅黑" w:cs="宋体" w:hint="eastAsia"/>
          <w:kern w:val="0"/>
          <w:sz w:val="22"/>
          <w:szCs w:val="22"/>
        </w:rPr>
      </w:pPr>
    </w:p>
    <w:p w:rsidR="00D063D7" w:rsidRPr="000C5CA3" w:rsidRDefault="005E78F7" w:rsidP="000C5CA3">
      <w:pPr>
        <w:spacing w:line="240" w:lineRule="exact"/>
        <w:ind w:leftChars="200" w:left="640" w:rightChars="200" w:right="640"/>
        <w:jc w:val="center"/>
        <w:rPr>
          <w:rFonts w:ascii="微软雅黑" w:eastAsia="微软雅黑" w:hAnsi="微软雅黑" w:cs="楷体_GB2312"/>
          <w:kern w:val="0"/>
          <w:sz w:val="22"/>
          <w:szCs w:val="22"/>
        </w:rPr>
      </w:pPr>
      <w:r w:rsidRPr="000C5CA3">
        <w:rPr>
          <w:rFonts w:ascii="微软雅黑" w:eastAsia="微软雅黑" w:hAnsi="微软雅黑" w:cs="楷体_GB2312" w:hint="eastAsia"/>
          <w:kern w:val="0"/>
          <w:sz w:val="22"/>
          <w:szCs w:val="22"/>
        </w:rPr>
        <w:t>（1990年10月30日第七届全国人民代表大会常务委员会第十六次会议通过）</w:t>
      </w:r>
    </w:p>
    <w:p w:rsidR="00D063D7" w:rsidRPr="002E05E4" w:rsidRDefault="00D063D7" w:rsidP="002E05E4">
      <w:pPr>
        <w:spacing w:line="280" w:lineRule="exact"/>
        <w:rPr>
          <w:rFonts w:ascii="微软雅黑" w:eastAsia="微软雅黑" w:hAnsi="微软雅黑" w:cs="宋体"/>
          <w:kern w:val="0"/>
          <w:sz w:val="22"/>
          <w:szCs w:val="22"/>
        </w:rPr>
      </w:pP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w:t>
      </w:r>
      <w:r w:rsidRPr="002E05E4">
        <w:rPr>
          <w:rFonts w:ascii="微软雅黑" w:eastAsia="微软雅黑" w:hAnsi="微软雅黑" w:cs="黑体" w:hint="eastAsia"/>
          <w:b/>
          <w:kern w:val="0"/>
          <w:sz w:val="22"/>
          <w:szCs w:val="22"/>
        </w:rPr>
        <w:t>第一条</w:t>
      </w:r>
      <w:r w:rsidRPr="002E05E4">
        <w:rPr>
          <w:rFonts w:ascii="微软雅黑" w:eastAsia="微软雅黑" w:hAnsi="微软雅黑" w:cs="Arial" w:hint="eastAsia"/>
          <w:kern w:val="0"/>
          <w:sz w:val="22"/>
          <w:szCs w:val="22"/>
        </w:rPr>
        <w:t xml:space="preserve">　为确定外国驻中国领馆和领馆成员的领事特权与豁免，便于外国驻中国领馆在领区内代表其国家有效地执行职务，制定本条例。</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w:t>
      </w:r>
      <w:r w:rsidRPr="002E05E4">
        <w:rPr>
          <w:rFonts w:ascii="微软雅黑" w:eastAsia="微软雅黑" w:hAnsi="微软雅黑" w:cs="黑体" w:hint="eastAsia"/>
          <w:b/>
          <w:kern w:val="0"/>
          <w:sz w:val="22"/>
          <w:szCs w:val="22"/>
        </w:rPr>
        <w:t>第二条</w:t>
      </w:r>
      <w:r w:rsidRPr="002E05E4">
        <w:rPr>
          <w:rFonts w:ascii="微软雅黑" w:eastAsia="微软雅黑" w:hAnsi="微软雅黑" w:cs="Arial" w:hint="eastAsia"/>
          <w:kern w:val="0"/>
          <w:sz w:val="22"/>
          <w:szCs w:val="22"/>
        </w:rPr>
        <w:t xml:space="preserve">　领事官员应当是具有派遣国国籍的人。如果委派具有中国或者第三国国籍的人或者派遣国在中国永久居留的人为领事官员，必须征得中国主管机关的同意。中国主管机关可以随时撤销此项同意。</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w:t>
      </w:r>
      <w:r w:rsidRPr="002E05E4">
        <w:rPr>
          <w:rFonts w:ascii="微软雅黑" w:eastAsia="微软雅黑" w:hAnsi="微软雅黑" w:cs="黑体" w:hint="eastAsia"/>
          <w:b/>
          <w:kern w:val="0"/>
          <w:sz w:val="22"/>
          <w:szCs w:val="22"/>
        </w:rPr>
        <w:t>第三条</w:t>
      </w:r>
      <w:r w:rsidRPr="002E05E4">
        <w:rPr>
          <w:rFonts w:ascii="微软雅黑" w:eastAsia="微软雅黑" w:hAnsi="微软雅黑" w:cs="Arial" w:hint="eastAsia"/>
          <w:kern w:val="0"/>
          <w:sz w:val="22"/>
          <w:szCs w:val="22"/>
        </w:rPr>
        <w:t xml:space="preserve">　领馆及其馆长有权在领馆馆舍、馆长寓所和馆长执行职务所乘用的交通工具上，使用派遣国国旗或者国徽。</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w:t>
      </w:r>
      <w:r w:rsidRPr="002E05E4">
        <w:rPr>
          <w:rFonts w:ascii="微软雅黑" w:eastAsia="微软雅黑" w:hAnsi="微软雅黑" w:cs="黑体" w:hint="eastAsia"/>
          <w:b/>
          <w:kern w:val="0"/>
          <w:sz w:val="22"/>
          <w:szCs w:val="22"/>
        </w:rPr>
        <w:t>第四条</w:t>
      </w:r>
      <w:r w:rsidRPr="002E05E4">
        <w:rPr>
          <w:rFonts w:ascii="微软雅黑" w:eastAsia="微软雅黑" w:hAnsi="微软雅黑" w:cs="Arial" w:hint="eastAsia"/>
          <w:kern w:val="0"/>
          <w:sz w:val="22"/>
          <w:szCs w:val="22"/>
        </w:rPr>
        <w:t xml:space="preserve">　领馆馆舍不受侵犯。中国国家工作人员进入领馆馆舍，须经领馆馆长或者派遣国使馆馆长或者他们两人中一人授权的人员同意。遇有火灾或者其他灾害须迅速采取保护行动时，可以推定领馆馆长已经同意。中国有关机关应当采取适当措施保护领馆馆舍免受侵犯或者损害。</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w:t>
      </w:r>
      <w:r w:rsidRPr="002E05E4">
        <w:rPr>
          <w:rFonts w:ascii="微软雅黑" w:eastAsia="微软雅黑" w:hAnsi="微软雅黑" w:cs="黑体" w:hint="eastAsia"/>
          <w:b/>
          <w:kern w:val="0"/>
          <w:sz w:val="22"/>
          <w:szCs w:val="22"/>
        </w:rPr>
        <w:t>第五条</w:t>
      </w:r>
      <w:r w:rsidRPr="002E05E4">
        <w:rPr>
          <w:rFonts w:ascii="微软雅黑" w:eastAsia="微软雅黑" w:hAnsi="微软雅黑" w:cs="Arial" w:hint="eastAsia"/>
          <w:kern w:val="0"/>
          <w:sz w:val="22"/>
          <w:szCs w:val="22"/>
        </w:rPr>
        <w:t xml:space="preserve">　领馆馆舍和馆长寓所免纳捐税，但为其提供特定服务所收的费用不在此限。</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领馆办理公务所收</w:t>
      </w:r>
      <w:proofErr w:type="gramStart"/>
      <w:r w:rsidRPr="002E05E4">
        <w:rPr>
          <w:rFonts w:ascii="微软雅黑" w:eastAsia="微软雅黑" w:hAnsi="微软雅黑" w:cs="Arial" w:hint="eastAsia"/>
          <w:kern w:val="0"/>
          <w:sz w:val="22"/>
          <w:szCs w:val="22"/>
        </w:rPr>
        <w:t>规</w:t>
      </w:r>
      <w:proofErr w:type="gramEnd"/>
      <w:r w:rsidRPr="002E05E4">
        <w:rPr>
          <w:rFonts w:ascii="微软雅黑" w:eastAsia="微软雅黑" w:hAnsi="微软雅黑" w:cs="Arial" w:hint="eastAsia"/>
          <w:kern w:val="0"/>
          <w:sz w:val="22"/>
          <w:szCs w:val="22"/>
        </w:rPr>
        <w:t>费和手续费免纳捐税。</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w:t>
      </w:r>
      <w:r w:rsidRPr="002E05E4">
        <w:rPr>
          <w:rFonts w:ascii="微软雅黑" w:eastAsia="微软雅黑" w:hAnsi="微软雅黑" w:cs="黑体" w:hint="eastAsia"/>
          <w:b/>
          <w:kern w:val="0"/>
          <w:sz w:val="22"/>
          <w:szCs w:val="22"/>
        </w:rPr>
        <w:t>第六条</w:t>
      </w:r>
      <w:r w:rsidRPr="002E05E4">
        <w:rPr>
          <w:rFonts w:ascii="微软雅黑" w:eastAsia="微软雅黑" w:hAnsi="微软雅黑" w:cs="Arial" w:hint="eastAsia"/>
          <w:kern w:val="0"/>
          <w:sz w:val="22"/>
          <w:szCs w:val="22"/>
        </w:rPr>
        <w:t xml:space="preserve">　领馆的档案和文件不受侵犯。</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w:t>
      </w:r>
      <w:r w:rsidRPr="002E05E4">
        <w:rPr>
          <w:rFonts w:ascii="微软雅黑" w:eastAsia="微软雅黑" w:hAnsi="微软雅黑" w:cs="黑体" w:hint="eastAsia"/>
          <w:b/>
          <w:kern w:val="0"/>
          <w:sz w:val="22"/>
          <w:szCs w:val="22"/>
        </w:rPr>
        <w:t>第七条</w:t>
      </w:r>
      <w:r w:rsidRPr="002E05E4">
        <w:rPr>
          <w:rFonts w:ascii="微软雅黑" w:eastAsia="微软雅黑" w:hAnsi="微软雅黑" w:cs="Arial" w:hint="eastAsia"/>
          <w:kern w:val="0"/>
          <w:sz w:val="22"/>
          <w:szCs w:val="22"/>
        </w:rPr>
        <w:t xml:space="preserve">　领馆成员在中国境内有行动和旅行的自由，但中国政府规定禁止或者限制进入的区域除外。</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w:t>
      </w:r>
      <w:r w:rsidRPr="002E05E4">
        <w:rPr>
          <w:rFonts w:ascii="微软雅黑" w:eastAsia="微软雅黑" w:hAnsi="微软雅黑" w:cs="黑体" w:hint="eastAsia"/>
          <w:b/>
          <w:kern w:val="0"/>
          <w:sz w:val="22"/>
          <w:szCs w:val="22"/>
        </w:rPr>
        <w:t>第八条</w:t>
      </w:r>
      <w:r w:rsidRPr="002E05E4">
        <w:rPr>
          <w:rFonts w:ascii="微软雅黑" w:eastAsia="微软雅黑" w:hAnsi="微软雅黑" w:cs="Arial" w:hint="eastAsia"/>
          <w:kern w:val="0"/>
          <w:sz w:val="22"/>
          <w:szCs w:val="22"/>
        </w:rPr>
        <w:t xml:space="preserve">　领馆为公务目的可以同派遣国政府以及派遣国使馆和其他领馆自由通讯。通讯可以采用一切适当方法，包括外交信使或者领事信使、外交邮袋或者领事邮袋和明码、密码电信在内。</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w:t>
      </w:r>
      <w:r w:rsidRPr="002E05E4">
        <w:rPr>
          <w:rFonts w:ascii="微软雅黑" w:eastAsia="微软雅黑" w:hAnsi="微软雅黑" w:cs="黑体" w:hint="eastAsia"/>
          <w:b/>
          <w:kern w:val="0"/>
          <w:sz w:val="22"/>
          <w:szCs w:val="22"/>
        </w:rPr>
        <w:t>第九条</w:t>
      </w:r>
      <w:r w:rsidRPr="002E05E4">
        <w:rPr>
          <w:rFonts w:ascii="微软雅黑" w:eastAsia="微软雅黑" w:hAnsi="微软雅黑" w:cs="Arial" w:hint="eastAsia"/>
          <w:kern w:val="0"/>
          <w:sz w:val="22"/>
          <w:szCs w:val="22"/>
        </w:rPr>
        <w:t xml:space="preserve">　领馆设置和使用无线电收发信机，必须经中国政府同意。领馆运进上述设备，按照中国政府的有关规定办理。</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w:t>
      </w:r>
      <w:r w:rsidRPr="002E05E4">
        <w:rPr>
          <w:rFonts w:ascii="微软雅黑" w:eastAsia="微软雅黑" w:hAnsi="微软雅黑" w:cs="黑体" w:hint="eastAsia"/>
          <w:b/>
          <w:kern w:val="0"/>
          <w:sz w:val="22"/>
          <w:szCs w:val="22"/>
        </w:rPr>
        <w:t>第十条</w:t>
      </w:r>
      <w:r w:rsidRPr="002E05E4">
        <w:rPr>
          <w:rFonts w:ascii="微软雅黑" w:eastAsia="微软雅黑" w:hAnsi="微软雅黑" w:cs="Arial" w:hint="eastAsia"/>
          <w:kern w:val="0"/>
          <w:sz w:val="22"/>
          <w:szCs w:val="22"/>
        </w:rPr>
        <w:t xml:space="preserve">　领事邮袋不得开拆或者扣留。</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领事邮袋以装载来往公文、公务文件及公务用品为限，应予加封并附有可资识别的外部标记。如中国有关机关有重大理由认为领事邮袋装有上述物品以外的物品时，可要求领事官员或者其授权的人员在中国有关机关人员在场的情况下开拆；如领事官员拒绝此项要求，领事邮袋应</w:t>
      </w:r>
      <w:proofErr w:type="gramStart"/>
      <w:r w:rsidRPr="002E05E4">
        <w:rPr>
          <w:rFonts w:ascii="微软雅黑" w:eastAsia="微软雅黑" w:hAnsi="微软雅黑" w:cs="Arial" w:hint="eastAsia"/>
          <w:kern w:val="0"/>
          <w:sz w:val="22"/>
          <w:szCs w:val="22"/>
        </w:rPr>
        <w:t>予退</w:t>
      </w:r>
      <w:proofErr w:type="gramEnd"/>
      <w:r w:rsidRPr="002E05E4">
        <w:rPr>
          <w:rFonts w:ascii="微软雅黑" w:eastAsia="微软雅黑" w:hAnsi="微软雅黑" w:cs="Arial" w:hint="eastAsia"/>
          <w:kern w:val="0"/>
          <w:sz w:val="22"/>
          <w:szCs w:val="22"/>
        </w:rPr>
        <w:t>回至原发送地点。</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w:t>
      </w:r>
      <w:r w:rsidRPr="002E05E4">
        <w:rPr>
          <w:rFonts w:ascii="微软雅黑" w:eastAsia="微软雅黑" w:hAnsi="微软雅黑" w:cs="Arial" w:hint="eastAsia"/>
          <w:b/>
          <w:kern w:val="0"/>
          <w:sz w:val="22"/>
          <w:szCs w:val="22"/>
        </w:rPr>
        <w:t xml:space="preserve">　</w:t>
      </w:r>
      <w:r w:rsidRPr="002E05E4">
        <w:rPr>
          <w:rFonts w:ascii="微软雅黑" w:eastAsia="微软雅黑" w:hAnsi="微软雅黑" w:cs="黑体" w:hint="eastAsia"/>
          <w:b/>
          <w:kern w:val="0"/>
          <w:sz w:val="22"/>
          <w:szCs w:val="22"/>
        </w:rPr>
        <w:t>第十一条</w:t>
      </w:r>
      <w:r w:rsidRPr="002E05E4">
        <w:rPr>
          <w:rFonts w:ascii="微软雅黑" w:eastAsia="微软雅黑" w:hAnsi="微软雅黑" w:cs="Arial" w:hint="eastAsia"/>
          <w:kern w:val="0"/>
          <w:sz w:val="22"/>
          <w:szCs w:val="22"/>
        </w:rPr>
        <w:t xml:space="preserve">　领事信使必须是具有派遣国国籍的人，并且不得是在中国永久居留的。领事信使必须持有派遣国主管机关出具的信使证明书。领事信使人身不受侵犯，不受逮捕或者拘留。</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临时领事信使必须持有派遣国主管机关出具的临时信使证明书，在其负责携带领事邮袋期间享有与领事信使同等的豁免。</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商业飞机机长或者商业船舶船长受委托可以转递领事邮袋，但机长或者船长必须持有委托国官方证明文件，注明所携带的领事邮袋件数。机长或者船长不得视为领事信使。经与中国地方人民政府主管机关商定，领馆可以派领馆成员与机长或者船长接交领事邮袋。</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w:t>
      </w:r>
      <w:r w:rsidRPr="002E05E4">
        <w:rPr>
          <w:rFonts w:ascii="微软雅黑" w:eastAsia="微软雅黑" w:hAnsi="微软雅黑" w:cs="黑体" w:hint="eastAsia"/>
          <w:b/>
          <w:kern w:val="0"/>
          <w:sz w:val="22"/>
          <w:szCs w:val="22"/>
        </w:rPr>
        <w:t>第十二条</w:t>
      </w:r>
      <w:r w:rsidRPr="002E05E4">
        <w:rPr>
          <w:rFonts w:ascii="微软雅黑" w:eastAsia="微软雅黑" w:hAnsi="微软雅黑" w:cs="Arial" w:hint="eastAsia"/>
          <w:kern w:val="0"/>
          <w:sz w:val="22"/>
          <w:szCs w:val="22"/>
        </w:rPr>
        <w:t xml:space="preserve">　领事官员人身不受侵犯。中国有关机关应当采取适当措施，防止领事官员的人身自由和尊严受到侵犯。</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领事官员不受逮捕或者拘留，但有严重犯罪情形，依照法定程序予以逮捕或者拘留的不在此限。</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领事官员不受监禁，但为执行已经发生法律效力的判决的不在此限。</w:t>
      </w:r>
      <w:bookmarkStart w:id="0" w:name="_GoBack"/>
      <w:bookmarkEnd w:id="0"/>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w:t>
      </w:r>
      <w:r w:rsidRPr="002E05E4">
        <w:rPr>
          <w:rFonts w:ascii="微软雅黑" w:eastAsia="微软雅黑" w:hAnsi="微软雅黑" w:cs="Arial" w:hint="eastAsia"/>
          <w:b/>
          <w:kern w:val="0"/>
          <w:sz w:val="22"/>
          <w:szCs w:val="22"/>
        </w:rPr>
        <w:t xml:space="preserve">　</w:t>
      </w:r>
      <w:r w:rsidRPr="002E05E4">
        <w:rPr>
          <w:rFonts w:ascii="微软雅黑" w:eastAsia="微软雅黑" w:hAnsi="微软雅黑" w:cs="黑体" w:hint="eastAsia"/>
          <w:b/>
          <w:kern w:val="0"/>
          <w:sz w:val="22"/>
          <w:szCs w:val="22"/>
        </w:rPr>
        <w:t>第十三条</w:t>
      </w:r>
      <w:r w:rsidRPr="002E05E4">
        <w:rPr>
          <w:rFonts w:ascii="微软雅黑" w:eastAsia="微软雅黑" w:hAnsi="微软雅黑" w:cs="Arial" w:hint="eastAsia"/>
          <w:kern w:val="0"/>
          <w:sz w:val="22"/>
          <w:szCs w:val="22"/>
        </w:rPr>
        <w:t xml:space="preserve">　领事官员的寓所不受侵犯。</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领事官员的文书和信件不受侵犯。</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领事官员的财产不受侵犯，但本条例第十四条另有规定的除外。</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w:t>
      </w:r>
      <w:r w:rsidRPr="002E05E4">
        <w:rPr>
          <w:rFonts w:ascii="微软雅黑" w:eastAsia="微软雅黑" w:hAnsi="微软雅黑" w:cs="黑体" w:hint="eastAsia"/>
          <w:b/>
          <w:kern w:val="0"/>
          <w:sz w:val="22"/>
          <w:szCs w:val="22"/>
        </w:rPr>
        <w:t>第十四条</w:t>
      </w:r>
      <w:r w:rsidRPr="002E05E4">
        <w:rPr>
          <w:rFonts w:ascii="微软雅黑" w:eastAsia="微软雅黑" w:hAnsi="微软雅黑" w:cs="Arial" w:hint="eastAsia"/>
          <w:kern w:val="0"/>
          <w:sz w:val="22"/>
          <w:szCs w:val="22"/>
        </w:rPr>
        <w:t xml:space="preserve">　领事官员和领馆行政技术人员执行职务的行为享有司法和行政管辖豁免。领事官员执行职务以外的行为的管辖豁免，按照中国与外国签订的双边条约、协定或者根据对等原则办理。</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领事官员和领馆行政技术人员享有的司法管辖豁免不适用于下列各项民事诉讼：</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（一）涉及未明示以派遣国代表身份所订的契约的诉讼；</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（二）涉及在中国境内私有不动产的诉讼，但以派遣国代表身份所拥有的为领馆使用的不动产不在此限；</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（三）以私人身份进行的遗产继承的诉讼；</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（四）因车辆、船舶或者航空器在中国境内造成的事故涉及损害赔偿的诉讼。</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w:t>
      </w:r>
      <w:r w:rsidRPr="002E05E4">
        <w:rPr>
          <w:rFonts w:ascii="微软雅黑" w:eastAsia="微软雅黑" w:hAnsi="微软雅黑" w:cs="黑体" w:hint="eastAsia"/>
          <w:b/>
          <w:kern w:val="0"/>
          <w:sz w:val="22"/>
          <w:szCs w:val="22"/>
        </w:rPr>
        <w:t>第十五条</w:t>
      </w:r>
      <w:r w:rsidRPr="002E05E4">
        <w:rPr>
          <w:rFonts w:ascii="微软雅黑" w:eastAsia="微软雅黑" w:hAnsi="微软雅黑" w:cs="Arial" w:hint="eastAsia"/>
          <w:kern w:val="0"/>
          <w:sz w:val="22"/>
          <w:szCs w:val="22"/>
        </w:rPr>
        <w:t xml:space="preserve">　领馆成员可以被要求在司法或者行政程序中到场作证，但没有义务就其执行职务所涉及事项作证。领馆成员有权拒绝以鉴定人身份就派遣国的法律提出证词。</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领事官员拒绝作证，不得对其采取强制措施或者给予处罚。</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领馆行政技术人员和领馆服务人员除执行职务所涉及事项外，不得拒绝作证。</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w:t>
      </w:r>
      <w:r w:rsidRPr="002E05E4">
        <w:rPr>
          <w:rFonts w:ascii="微软雅黑" w:eastAsia="微软雅黑" w:hAnsi="微软雅黑" w:cs="黑体" w:hint="eastAsia"/>
          <w:b/>
          <w:kern w:val="0"/>
          <w:sz w:val="22"/>
          <w:szCs w:val="22"/>
        </w:rPr>
        <w:t>第十六条</w:t>
      </w:r>
      <w:r w:rsidRPr="002E05E4">
        <w:rPr>
          <w:rFonts w:ascii="微软雅黑" w:eastAsia="微软雅黑" w:hAnsi="微软雅黑" w:cs="Arial" w:hint="eastAsia"/>
          <w:kern w:val="0"/>
          <w:sz w:val="22"/>
          <w:szCs w:val="22"/>
        </w:rPr>
        <w:t xml:space="preserve">　本条例规定的有关人员所享有的管辖豁免可以由派遣国政府明确表示放弃。</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lastRenderedPageBreak/>
        <w:t xml:space="preserve">　　依照本条例规定享有管辖豁免的人员如果主动提起诉讼，对与本</w:t>
      </w:r>
      <w:proofErr w:type="gramStart"/>
      <w:r w:rsidRPr="002E05E4">
        <w:rPr>
          <w:rFonts w:ascii="微软雅黑" w:eastAsia="微软雅黑" w:hAnsi="微软雅黑" w:cs="Arial" w:hint="eastAsia"/>
          <w:kern w:val="0"/>
          <w:sz w:val="22"/>
          <w:szCs w:val="22"/>
        </w:rPr>
        <w:t>诉直接</w:t>
      </w:r>
      <w:proofErr w:type="gramEnd"/>
      <w:r w:rsidRPr="002E05E4">
        <w:rPr>
          <w:rFonts w:ascii="微软雅黑" w:eastAsia="微软雅黑" w:hAnsi="微软雅黑" w:cs="Arial" w:hint="eastAsia"/>
          <w:kern w:val="0"/>
          <w:sz w:val="22"/>
          <w:szCs w:val="22"/>
        </w:rPr>
        <w:t>有关的反诉，不得援用管辖豁免。</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放弃民事管辖豁免或者行政管辖豁免，不包括对判决的执行也放弃豁免。放弃对判决执行的豁免须由派遣国政府另作明确表示。</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w:t>
      </w:r>
      <w:r w:rsidRPr="002E05E4">
        <w:rPr>
          <w:rFonts w:ascii="微软雅黑" w:eastAsia="微软雅黑" w:hAnsi="微软雅黑" w:cs="黑体" w:hint="eastAsia"/>
          <w:b/>
          <w:kern w:val="0"/>
          <w:sz w:val="22"/>
          <w:szCs w:val="22"/>
        </w:rPr>
        <w:t>第十七条</w:t>
      </w:r>
      <w:r w:rsidRPr="002E05E4">
        <w:rPr>
          <w:rFonts w:ascii="微软雅黑" w:eastAsia="微软雅黑" w:hAnsi="微软雅黑" w:cs="Arial" w:hint="eastAsia"/>
          <w:kern w:val="0"/>
          <w:sz w:val="22"/>
          <w:szCs w:val="22"/>
        </w:rPr>
        <w:t xml:space="preserve">　领事官员和领馆行政技术人员免纳捐税，但下列各项除外：</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（一）通常计入商品价格或者服务价格内的捐税；</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（二）对在中国境内私有不动产所征的捐税，但用作领馆馆舍的不在此限；</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（三）有关遗产的各种捐税，但领事官员亡故，其在中国境内的动产的有关遗产的各种捐税免纳；</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（四）对来源于中国境内的私人收入所征的捐税；</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（五）为其提供特定服务所收的费用。</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领馆服务人员在领馆服务所得工资，免纳捐税。</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w:t>
      </w:r>
      <w:r w:rsidRPr="002E05E4">
        <w:rPr>
          <w:rFonts w:ascii="微软雅黑" w:eastAsia="微软雅黑" w:hAnsi="微软雅黑" w:cs="黑体" w:hint="eastAsia"/>
          <w:b/>
          <w:kern w:val="0"/>
          <w:sz w:val="22"/>
          <w:szCs w:val="22"/>
        </w:rPr>
        <w:t>第十八条</w:t>
      </w:r>
      <w:r w:rsidRPr="002E05E4">
        <w:rPr>
          <w:rFonts w:ascii="微软雅黑" w:eastAsia="微软雅黑" w:hAnsi="微软雅黑" w:cs="Arial" w:hint="eastAsia"/>
          <w:kern w:val="0"/>
          <w:sz w:val="22"/>
          <w:szCs w:val="22"/>
        </w:rPr>
        <w:t xml:space="preserve">　领馆成员免除一切个人和公共劳务以及军事义务。</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领事官员和领馆行政技术人员免除中国法律、法规关于外国人登记和居留许可所规定的义务。</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w:t>
      </w:r>
      <w:r w:rsidRPr="002E05E4">
        <w:rPr>
          <w:rFonts w:ascii="微软雅黑" w:eastAsia="微软雅黑" w:hAnsi="微软雅黑" w:cs="黑体" w:hint="eastAsia"/>
          <w:b/>
          <w:kern w:val="0"/>
          <w:sz w:val="22"/>
          <w:szCs w:val="22"/>
        </w:rPr>
        <w:t>第十九条</w:t>
      </w:r>
      <w:r w:rsidRPr="002E05E4">
        <w:rPr>
          <w:rFonts w:ascii="微软雅黑" w:eastAsia="微软雅黑" w:hAnsi="微软雅黑" w:cs="Arial" w:hint="eastAsia"/>
          <w:kern w:val="0"/>
          <w:sz w:val="22"/>
          <w:szCs w:val="22"/>
        </w:rPr>
        <w:t xml:space="preserve">　领馆运进的公务用品，领事官员运进的自用物品和领馆行政技术人员到任后半年内运进的自用物品包括安家物品，按照中国政府的有关规定免纳关税和其他捐税，但保管、运输及类似服务费用除外。</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领事官员和领馆行政技术人员运进的前款所述自用物品，不得超过直接需要的数量。</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领事官员的私人行李免受查验，但中国有关机关有重大理由认为其中装有不属于本条第一款规定的自用物品或者中国法律和政府规定禁止运进、运出或者管制的物品，可以查验。查验时，须有领事官员或者其授权的人员到场。</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w:t>
      </w:r>
      <w:r w:rsidRPr="002E05E4">
        <w:rPr>
          <w:rFonts w:ascii="微软雅黑" w:eastAsia="微软雅黑" w:hAnsi="微软雅黑" w:cs="黑体" w:hint="eastAsia"/>
          <w:b/>
          <w:kern w:val="0"/>
          <w:sz w:val="22"/>
          <w:szCs w:val="22"/>
        </w:rPr>
        <w:t>第二十条</w:t>
      </w:r>
      <w:r w:rsidRPr="002E05E4">
        <w:rPr>
          <w:rFonts w:ascii="微软雅黑" w:eastAsia="微软雅黑" w:hAnsi="微软雅黑" w:cs="Arial" w:hint="eastAsia"/>
          <w:kern w:val="0"/>
          <w:sz w:val="22"/>
          <w:szCs w:val="22"/>
        </w:rPr>
        <w:t xml:space="preserve">　领馆和领馆成员携带自用的枪支、子弹人出境，必须经中国政府批准，并且按照中国政府的有关规定办理。</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w:t>
      </w:r>
      <w:r w:rsidRPr="002E05E4">
        <w:rPr>
          <w:rFonts w:ascii="微软雅黑" w:eastAsia="微软雅黑" w:hAnsi="微软雅黑" w:cs="Arial" w:hint="eastAsia"/>
          <w:b/>
          <w:kern w:val="0"/>
          <w:sz w:val="22"/>
          <w:szCs w:val="22"/>
        </w:rPr>
        <w:t xml:space="preserve">　</w:t>
      </w:r>
      <w:r w:rsidRPr="002E05E4">
        <w:rPr>
          <w:rFonts w:ascii="微软雅黑" w:eastAsia="微软雅黑" w:hAnsi="微软雅黑" w:cs="黑体" w:hint="eastAsia"/>
          <w:b/>
          <w:kern w:val="0"/>
          <w:sz w:val="22"/>
          <w:szCs w:val="22"/>
        </w:rPr>
        <w:t>第二十一条</w:t>
      </w:r>
      <w:r w:rsidRPr="002E05E4">
        <w:rPr>
          <w:rFonts w:ascii="微软雅黑" w:eastAsia="微软雅黑" w:hAnsi="微软雅黑" w:cs="Arial" w:hint="eastAsia"/>
          <w:kern w:val="0"/>
          <w:sz w:val="22"/>
          <w:szCs w:val="22"/>
        </w:rPr>
        <w:t xml:space="preserve">　与领事官员、领馆行政技术人员、领馆服务人员共同生活的配偶及未成年子女，分别享有领事官员、领馆行政技术人员、领馆服务人员根据本条例第七条、第十七条、第十八条、第十九条的规定所享有的特权与豁免，但身为中国公民或者在中国永久居留的外国人除外。</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b/>
          <w:kern w:val="0"/>
          <w:sz w:val="22"/>
          <w:szCs w:val="22"/>
        </w:rPr>
        <w:t xml:space="preserve">　　</w:t>
      </w:r>
      <w:r w:rsidRPr="002E05E4">
        <w:rPr>
          <w:rFonts w:ascii="微软雅黑" w:eastAsia="微软雅黑" w:hAnsi="微软雅黑" w:cs="黑体" w:hint="eastAsia"/>
          <w:b/>
          <w:kern w:val="0"/>
          <w:sz w:val="22"/>
          <w:szCs w:val="22"/>
        </w:rPr>
        <w:t>第二十二条</w:t>
      </w:r>
      <w:r w:rsidRPr="002E05E4">
        <w:rPr>
          <w:rFonts w:ascii="微软雅黑" w:eastAsia="微软雅黑" w:hAnsi="微软雅黑" w:cs="Arial" w:hint="eastAsia"/>
          <w:kern w:val="0"/>
          <w:sz w:val="22"/>
          <w:szCs w:val="22"/>
        </w:rPr>
        <w:t xml:space="preserve">　领事官员如果是中国公民或者在中国永久居留的外国人，仅就其执行职务的行为，享有本条例规定的特权与豁免。</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领馆行政技术人员或者领馆服务人员如果是中国公民或者在中国永久居留的外国人，除没有义务就其执行职务所涉及事项作证外，不享有本条例规定的特权与豁免。</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私人服务人员不享有本条例规定的特权与豁免。</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b/>
          <w:kern w:val="0"/>
          <w:sz w:val="22"/>
          <w:szCs w:val="22"/>
        </w:rPr>
        <w:t xml:space="preserve">　　</w:t>
      </w:r>
      <w:r w:rsidRPr="002E05E4">
        <w:rPr>
          <w:rFonts w:ascii="微软雅黑" w:eastAsia="微软雅黑" w:hAnsi="微软雅黑" w:cs="黑体" w:hint="eastAsia"/>
          <w:b/>
          <w:kern w:val="0"/>
          <w:sz w:val="22"/>
          <w:szCs w:val="22"/>
        </w:rPr>
        <w:t>第二十三条</w:t>
      </w:r>
      <w:r w:rsidRPr="002E05E4">
        <w:rPr>
          <w:rFonts w:ascii="微软雅黑" w:eastAsia="微软雅黑" w:hAnsi="微软雅黑" w:cs="Arial" w:hint="eastAsia"/>
          <w:kern w:val="0"/>
          <w:sz w:val="22"/>
          <w:szCs w:val="22"/>
        </w:rPr>
        <w:t xml:space="preserve">　下列人员在中国过境或者逗留期间享有所必需的豁免和不受侵犯：</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（一）途经中国的</w:t>
      </w:r>
      <w:proofErr w:type="gramStart"/>
      <w:r w:rsidRPr="002E05E4">
        <w:rPr>
          <w:rFonts w:ascii="微软雅黑" w:eastAsia="微软雅黑" w:hAnsi="微软雅黑" w:cs="Arial" w:hint="eastAsia"/>
          <w:kern w:val="0"/>
          <w:sz w:val="22"/>
          <w:szCs w:val="22"/>
        </w:rPr>
        <w:t>外国驻第三国</w:t>
      </w:r>
      <w:proofErr w:type="gramEnd"/>
      <w:r w:rsidRPr="002E05E4">
        <w:rPr>
          <w:rFonts w:ascii="微软雅黑" w:eastAsia="微软雅黑" w:hAnsi="微软雅黑" w:cs="Arial" w:hint="eastAsia"/>
          <w:kern w:val="0"/>
          <w:sz w:val="22"/>
          <w:szCs w:val="22"/>
        </w:rPr>
        <w:t>的领事官员和与其共同生活的配偶及未成年子女；</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（二）持有中国外交签证或者持有与中国互免签证国家外交护照的外国领事官员。</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b/>
          <w:kern w:val="0"/>
          <w:sz w:val="22"/>
          <w:szCs w:val="22"/>
        </w:rPr>
        <w:t xml:space="preserve">　　</w:t>
      </w:r>
      <w:r w:rsidRPr="002E05E4">
        <w:rPr>
          <w:rFonts w:ascii="微软雅黑" w:eastAsia="微软雅黑" w:hAnsi="微软雅黑" w:cs="黑体" w:hint="eastAsia"/>
          <w:b/>
          <w:kern w:val="0"/>
          <w:sz w:val="22"/>
          <w:szCs w:val="22"/>
        </w:rPr>
        <w:t>第二十四条</w:t>
      </w:r>
      <w:r w:rsidRPr="002E05E4">
        <w:rPr>
          <w:rFonts w:ascii="微软雅黑" w:eastAsia="微软雅黑" w:hAnsi="微软雅黑" w:cs="Arial" w:hint="eastAsia"/>
          <w:kern w:val="0"/>
          <w:sz w:val="22"/>
          <w:szCs w:val="22"/>
        </w:rPr>
        <w:t xml:space="preserve">　享有领事特权与豁免的人员：</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（一）应当尊重中国的法律、法规；</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（二）不得干涉中国的内政；</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（三）不得将领馆馆舍和领馆成员的寓所充作与执行领事职务不相符合的用途。</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b/>
          <w:kern w:val="0"/>
          <w:sz w:val="22"/>
          <w:szCs w:val="22"/>
        </w:rPr>
        <w:t xml:space="preserve">　　</w:t>
      </w:r>
      <w:r w:rsidRPr="002E05E4">
        <w:rPr>
          <w:rFonts w:ascii="微软雅黑" w:eastAsia="微软雅黑" w:hAnsi="微软雅黑" w:cs="黑体" w:hint="eastAsia"/>
          <w:b/>
          <w:kern w:val="0"/>
          <w:sz w:val="22"/>
          <w:szCs w:val="22"/>
        </w:rPr>
        <w:t>第二十五条</w:t>
      </w:r>
      <w:r w:rsidRPr="002E05E4">
        <w:rPr>
          <w:rFonts w:ascii="微软雅黑" w:eastAsia="微软雅黑" w:hAnsi="微软雅黑" w:cs="Arial" w:hint="eastAsia"/>
          <w:kern w:val="0"/>
          <w:sz w:val="22"/>
          <w:szCs w:val="22"/>
        </w:rPr>
        <w:t xml:space="preserve">　领事官员不得在中国境内为私人利益从事任何职务范围以外的职业或者商业活动。</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b/>
          <w:kern w:val="0"/>
          <w:sz w:val="22"/>
          <w:szCs w:val="22"/>
        </w:rPr>
        <w:t xml:space="preserve">　　</w:t>
      </w:r>
      <w:r w:rsidRPr="002E05E4">
        <w:rPr>
          <w:rFonts w:ascii="微软雅黑" w:eastAsia="微软雅黑" w:hAnsi="微软雅黑" w:cs="黑体" w:hint="eastAsia"/>
          <w:b/>
          <w:kern w:val="0"/>
          <w:sz w:val="22"/>
          <w:szCs w:val="22"/>
        </w:rPr>
        <w:t>第二十六条</w:t>
      </w:r>
      <w:r w:rsidRPr="002E05E4">
        <w:rPr>
          <w:rFonts w:ascii="微软雅黑" w:eastAsia="微软雅黑" w:hAnsi="微软雅黑" w:cs="Arial" w:hint="eastAsia"/>
          <w:kern w:val="0"/>
          <w:sz w:val="22"/>
          <w:szCs w:val="22"/>
        </w:rPr>
        <w:t xml:space="preserve">　如果外国给予中国驻该国领馆、领馆成员以及途经或者临时去该国的</w:t>
      </w:r>
      <w:proofErr w:type="gramStart"/>
      <w:r w:rsidRPr="002E05E4">
        <w:rPr>
          <w:rFonts w:ascii="微软雅黑" w:eastAsia="微软雅黑" w:hAnsi="微软雅黑" w:cs="Arial" w:hint="eastAsia"/>
          <w:kern w:val="0"/>
          <w:sz w:val="22"/>
          <w:szCs w:val="22"/>
        </w:rPr>
        <w:t>中国驻第三国</w:t>
      </w:r>
      <w:proofErr w:type="gramEnd"/>
      <w:r w:rsidRPr="002E05E4">
        <w:rPr>
          <w:rFonts w:ascii="微软雅黑" w:eastAsia="微软雅黑" w:hAnsi="微软雅黑" w:cs="Arial" w:hint="eastAsia"/>
          <w:kern w:val="0"/>
          <w:sz w:val="22"/>
          <w:szCs w:val="22"/>
        </w:rPr>
        <w:t>领事官员的领事特权与豁免，不同于中国给予该国驻中国领馆、领馆成员以及途经或者临时来中国的</w:t>
      </w:r>
      <w:proofErr w:type="gramStart"/>
      <w:r w:rsidRPr="002E05E4">
        <w:rPr>
          <w:rFonts w:ascii="微软雅黑" w:eastAsia="微软雅黑" w:hAnsi="微软雅黑" w:cs="Arial" w:hint="eastAsia"/>
          <w:kern w:val="0"/>
          <w:sz w:val="22"/>
          <w:szCs w:val="22"/>
        </w:rPr>
        <w:t>该国驻第三国</w:t>
      </w:r>
      <w:proofErr w:type="gramEnd"/>
      <w:r w:rsidRPr="002E05E4">
        <w:rPr>
          <w:rFonts w:ascii="微软雅黑" w:eastAsia="微软雅黑" w:hAnsi="微软雅黑" w:cs="Arial" w:hint="eastAsia"/>
          <w:kern w:val="0"/>
          <w:sz w:val="22"/>
          <w:szCs w:val="22"/>
        </w:rPr>
        <w:t>领事官员的领事特权与豁免，中国政府根据对等原则，可以给予该国驻中国领馆、领馆成员以及途经或者临时来中国的</w:t>
      </w:r>
      <w:proofErr w:type="gramStart"/>
      <w:r w:rsidRPr="002E05E4">
        <w:rPr>
          <w:rFonts w:ascii="微软雅黑" w:eastAsia="微软雅黑" w:hAnsi="微软雅黑" w:cs="Arial" w:hint="eastAsia"/>
          <w:kern w:val="0"/>
          <w:sz w:val="22"/>
          <w:szCs w:val="22"/>
        </w:rPr>
        <w:t>该国驻第三国</w:t>
      </w:r>
      <w:proofErr w:type="gramEnd"/>
      <w:r w:rsidRPr="002E05E4">
        <w:rPr>
          <w:rFonts w:ascii="微软雅黑" w:eastAsia="微软雅黑" w:hAnsi="微软雅黑" w:cs="Arial" w:hint="eastAsia"/>
          <w:kern w:val="0"/>
          <w:sz w:val="22"/>
          <w:szCs w:val="22"/>
        </w:rPr>
        <w:t>领事官员以相应的领事特权与豁免。</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b/>
          <w:kern w:val="0"/>
          <w:sz w:val="22"/>
          <w:szCs w:val="22"/>
        </w:rPr>
        <w:t xml:space="preserve">　　</w:t>
      </w:r>
      <w:r w:rsidRPr="002E05E4">
        <w:rPr>
          <w:rFonts w:ascii="微软雅黑" w:eastAsia="微软雅黑" w:hAnsi="微软雅黑" w:cs="黑体" w:hint="eastAsia"/>
          <w:b/>
          <w:kern w:val="0"/>
          <w:sz w:val="22"/>
          <w:szCs w:val="22"/>
        </w:rPr>
        <w:t>第二十七条</w:t>
      </w:r>
      <w:r w:rsidRPr="002E05E4">
        <w:rPr>
          <w:rFonts w:ascii="微软雅黑" w:eastAsia="微软雅黑" w:hAnsi="微软雅黑" w:cs="Arial" w:hint="eastAsia"/>
          <w:kern w:val="0"/>
          <w:sz w:val="22"/>
          <w:szCs w:val="22"/>
        </w:rPr>
        <w:t xml:space="preserve">　中国缔结或者参加的国际条约对领事特权与豁免另有规定的，按照国际条约的规定办理，但中国声明保留的条款除外。</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中国与外国签订的双边条约或者协定对领事特权与豁免另有规定的，按照条约或者协定的规定执行。</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w:t>
      </w:r>
      <w:r w:rsidRPr="002E05E4">
        <w:rPr>
          <w:rFonts w:ascii="微软雅黑" w:eastAsia="微软雅黑" w:hAnsi="微软雅黑" w:cs="黑体" w:hint="eastAsia"/>
          <w:b/>
          <w:kern w:val="0"/>
          <w:sz w:val="22"/>
          <w:szCs w:val="22"/>
        </w:rPr>
        <w:t>第二十八条</w:t>
      </w:r>
      <w:r w:rsidRPr="002E05E4">
        <w:rPr>
          <w:rFonts w:ascii="微软雅黑" w:eastAsia="微软雅黑" w:hAnsi="微软雅黑" w:cs="Arial" w:hint="eastAsia"/>
          <w:kern w:val="0"/>
          <w:sz w:val="22"/>
          <w:szCs w:val="22"/>
        </w:rPr>
        <w:t xml:space="preserve">　本条例中下列用语的含义是：</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（一）“领馆”是指总领事馆、领事馆、副领事馆或者领事代理处；</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（二）“领区”是指为领馆执行领事职务而设定的区域；</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（三）“领馆馆长”是指派遣国委派领导领馆的总领事、领事、副领事或者领事代理人；</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（四）“领事官员”是指总领事、副总领事、领事、副领事、领事随员或者领事代理人；</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（五）“领馆行政技术人员”是指从事领馆行政或者技术工作的人员；</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（六）“领馆服务人员”是指从事领馆服务工作的人员；</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（七）“领馆成员”是指领事官员、领馆行政技术人员和领馆服务人员：</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（八）“私人服务人员”是指领馆成员私人雇用的服务人员；</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（九）“领馆馆舍”是指专供领馆使用的建筑物或者部分建筑物及其附属的土地。</w:t>
      </w:r>
    </w:p>
    <w:p w:rsidR="00D063D7" w:rsidRPr="002E05E4" w:rsidRDefault="005E78F7" w:rsidP="002E05E4">
      <w:pPr>
        <w:spacing w:line="280" w:lineRule="exact"/>
        <w:rPr>
          <w:rFonts w:ascii="微软雅黑" w:eastAsia="微软雅黑" w:hAnsi="微软雅黑" w:cs="Arial"/>
          <w:kern w:val="0"/>
          <w:sz w:val="22"/>
          <w:szCs w:val="22"/>
        </w:rPr>
      </w:pPr>
      <w:r w:rsidRPr="002E05E4">
        <w:rPr>
          <w:rFonts w:ascii="微软雅黑" w:eastAsia="微软雅黑" w:hAnsi="微软雅黑" w:cs="Arial" w:hint="eastAsia"/>
          <w:kern w:val="0"/>
          <w:sz w:val="22"/>
          <w:szCs w:val="22"/>
        </w:rPr>
        <w:t xml:space="preserve">　　</w:t>
      </w:r>
      <w:r w:rsidRPr="002E05E4">
        <w:rPr>
          <w:rFonts w:ascii="微软雅黑" w:eastAsia="微软雅黑" w:hAnsi="微软雅黑" w:cs="黑体" w:hint="eastAsia"/>
          <w:b/>
          <w:kern w:val="0"/>
          <w:sz w:val="22"/>
          <w:szCs w:val="22"/>
        </w:rPr>
        <w:t>第二十九条</w:t>
      </w:r>
      <w:r w:rsidRPr="002E05E4">
        <w:rPr>
          <w:rFonts w:ascii="微软雅黑" w:eastAsia="微软雅黑" w:hAnsi="微软雅黑" w:cs="Arial" w:hint="eastAsia"/>
          <w:kern w:val="0"/>
          <w:sz w:val="22"/>
          <w:szCs w:val="22"/>
        </w:rPr>
        <w:t xml:space="preserve">　本条例自公布之日起施行。</w:t>
      </w:r>
    </w:p>
    <w:sectPr w:rsidR="00D063D7" w:rsidRPr="002E05E4" w:rsidSect="002E05E4">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C15" w:rsidRDefault="00580C15" w:rsidP="00D063D7">
      <w:r>
        <w:separator/>
      </w:r>
    </w:p>
  </w:endnote>
  <w:endnote w:type="continuationSeparator" w:id="0">
    <w:p w:rsidR="00580C15" w:rsidRDefault="00580C15" w:rsidP="00D06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3D7" w:rsidRDefault="00580C15">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D063D7" w:rsidRDefault="005E78F7">
                <w:pPr>
                  <w:pStyle w:val="a7"/>
                  <w:rPr>
                    <w:rFonts w:ascii="宋体" w:eastAsia="宋体" w:hAnsi="宋体" w:cs="宋体"/>
                    <w:sz w:val="28"/>
                    <w:szCs w:val="28"/>
                  </w:rPr>
                </w:pPr>
                <w:r>
                  <w:rPr>
                    <w:rFonts w:ascii="宋体" w:eastAsia="宋体" w:hAnsi="宋体" w:cs="宋体" w:hint="eastAsia"/>
                    <w:sz w:val="28"/>
                    <w:szCs w:val="28"/>
                  </w:rPr>
                  <w:t xml:space="preserve">　—</w:t>
                </w:r>
                <w:r w:rsidR="00D063D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063D7">
                  <w:rPr>
                    <w:rFonts w:ascii="宋体" w:eastAsia="宋体" w:hAnsi="宋体" w:cs="宋体" w:hint="eastAsia"/>
                    <w:sz w:val="28"/>
                    <w:szCs w:val="28"/>
                  </w:rPr>
                  <w:fldChar w:fldCharType="separate"/>
                </w:r>
                <w:r w:rsidR="000C5CA3">
                  <w:rPr>
                    <w:rFonts w:ascii="宋体" w:eastAsia="宋体" w:hAnsi="宋体" w:cs="宋体"/>
                    <w:noProof/>
                    <w:sz w:val="28"/>
                    <w:szCs w:val="28"/>
                  </w:rPr>
                  <w:t>2</w:t>
                </w:r>
                <w:r w:rsidR="00D063D7">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3D7" w:rsidRDefault="00580C15">
    <w:pPr>
      <w:pStyle w:val="a7"/>
    </w:pPr>
    <w:r>
      <w:pict>
        <v:shapetype id="_x0000_t202" coordsize="21600,21600" o:spt="202" path="m,l,21600r21600,l21600,xe">
          <v:stroke joinstyle="miter"/>
          <v:path gradientshapeok="t" o:connecttype="rect"/>
        </v:shapetype>
        <v:shape id="_x0000_s2050" type="#_x0000_t202" style="position:absolute;margin-left:453.5pt;margin-top:0;width:63.2pt;height:18.15pt;z-index:1;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D063D7" w:rsidRDefault="005E78F7">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D063D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063D7">
                  <w:rPr>
                    <w:rFonts w:ascii="宋体" w:eastAsia="宋体" w:hAnsi="宋体" w:cs="宋体" w:hint="eastAsia"/>
                    <w:sz w:val="28"/>
                    <w:szCs w:val="28"/>
                  </w:rPr>
                  <w:fldChar w:fldCharType="separate"/>
                </w:r>
                <w:r w:rsidR="000C5CA3">
                  <w:rPr>
                    <w:rFonts w:ascii="宋体" w:eastAsia="宋体" w:hAnsi="宋体" w:cs="宋体"/>
                    <w:noProof/>
                    <w:sz w:val="28"/>
                    <w:szCs w:val="28"/>
                  </w:rPr>
                  <w:t>1</w:t>
                </w:r>
                <w:r w:rsidR="00D063D7">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C15" w:rsidRDefault="00580C15" w:rsidP="00D063D7">
      <w:r>
        <w:separator/>
      </w:r>
    </w:p>
  </w:footnote>
  <w:footnote w:type="continuationSeparator" w:id="0">
    <w:p w:rsidR="00580C15" w:rsidRDefault="00580C15" w:rsidP="00D06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3D7" w:rsidRDefault="00D063D7">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3D7" w:rsidRDefault="00D063D7">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2FF2"/>
    <w:rsid w:val="00032F3D"/>
    <w:rsid w:val="000408C7"/>
    <w:rsid w:val="00047741"/>
    <w:rsid w:val="0005018B"/>
    <w:rsid w:val="00062E6C"/>
    <w:rsid w:val="000778B0"/>
    <w:rsid w:val="000803E8"/>
    <w:rsid w:val="000C5CA3"/>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E05E4"/>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32A1E"/>
    <w:rsid w:val="005521DE"/>
    <w:rsid w:val="00580C15"/>
    <w:rsid w:val="005866F9"/>
    <w:rsid w:val="005946BE"/>
    <w:rsid w:val="00597FF0"/>
    <w:rsid w:val="005B4D16"/>
    <w:rsid w:val="005C6A1B"/>
    <w:rsid w:val="005E5EEF"/>
    <w:rsid w:val="005E78F7"/>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063D7"/>
    <w:rsid w:val="00D54AF3"/>
    <w:rsid w:val="00D54B93"/>
    <w:rsid w:val="00D70A89"/>
    <w:rsid w:val="00D76CB4"/>
    <w:rsid w:val="00D84514"/>
    <w:rsid w:val="00DC5C43"/>
    <w:rsid w:val="00DD0B8B"/>
    <w:rsid w:val="00E235DD"/>
    <w:rsid w:val="00E64956"/>
    <w:rsid w:val="00E76A3C"/>
    <w:rsid w:val="00EE4F6D"/>
    <w:rsid w:val="00F00D39"/>
    <w:rsid w:val="00FA3C68"/>
    <w:rsid w:val="00FC68C1"/>
    <w:rsid w:val="08210A6D"/>
    <w:rsid w:val="0B957AC8"/>
    <w:rsid w:val="0C4E6F56"/>
    <w:rsid w:val="0D2F2A95"/>
    <w:rsid w:val="19F86B68"/>
    <w:rsid w:val="2F7753E6"/>
    <w:rsid w:val="3258761C"/>
    <w:rsid w:val="342522AC"/>
    <w:rsid w:val="359A7A39"/>
    <w:rsid w:val="44BC0EEC"/>
    <w:rsid w:val="482A39F4"/>
    <w:rsid w:val="56755F92"/>
    <w:rsid w:val="653A70E2"/>
    <w:rsid w:val="6C1E17DE"/>
    <w:rsid w:val="6E304E0C"/>
    <w:rsid w:val="72406E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03D5361"/>
  <w15:docId w15:val="{0961BB15-0032-4FB2-BD12-08C5E2A2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63D7"/>
    <w:pPr>
      <w:widowControl w:val="0"/>
      <w:jc w:val="both"/>
    </w:pPr>
    <w:rPr>
      <w:rFonts w:eastAsia="仿宋_GB2312"/>
      <w:kern w:val="2"/>
      <w:sz w:val="32"/>
      <w:szCs w:val="24"/>
    </w:rPr>
  </w:style>
  <w:style w:type="paragraph" w:styleId="1">
    <w:name w:val="heading 1"/>
    <w:basedOn w:val="a"/>
    <w:next w:val="a"/>
    <w:link w:val="10"/>
    <w:qFormat/>
    <w:rsid w:val="00D063D7"/>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D063D7"/>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D063D7"/>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063D7"/>
    <w:pPr>
      <w:shd w:val="clear" w:color="auto" w:fill="000080"/>
    </w:pPr>
  </w:style>
  <w:style w:type="paragraph" w:styleId="a4">
    <w:name w:val="Plain Text"/>
    <w:basedOn w:val="a"/>
    <w:link w:val="a5"/>
    <w:uiPriority w:val="99"/>
    <w:unhideWhenUsed/>
    <w:qFormat/>
    <w:rsid w:val="00D063D7"/>
    <w:rPr>
      <w:rFonts w:ascii="宋体" w:eastAsia="宋体" w:hAnsi="Courier New"/>
      <w:sz w:val="21"/>
      <w:szCs w:val="21"/>
    </w:rPr>
  </w:style>
  <w:style w:type="paragraph" w:styleId="a6">
    <w:name w:val="Balloon Text"/>
    <w:basedOn w:val="a"/>
    <w:semiHidden/>
    <w:qFormat/>
    <w:rsid w:val="00D063D7"/>
    <w:rPr>
      <w:sz w:val="18"/>
      <w:szCs w:val="18"/>
    </w:rPr>
  </w:style>
  <w:style w:type="paragraph" w:styleId="a7">
    <w:name w:val="footer"/>
    <w:basedOn w:val="a"/>
    <w:link w:val="a8"/>
    <w:uiPriority w:val="99"/>
    <w:qFormat/>
    <w:rsid w:val="00D063D7"/>
    <w:pPr>
      <w:tabs>
        <w:tab w:val="center" w:pos="4153"/>
        <w:tab w:val="right" w:pos="8306"/>
      </w:tabs>
      <w:snapToGrid w:val="0"/>
      <w:jc w:val="left"/>
    </w:pPr>
    <w:rPr>
      <w:sz w:val="18"/>
      <w:szCs w:val="18"/>
    </w:rPr>
  </w:style>
  <w:style w:type="paragraph" w:styleId="a9">
    <w:name w:val="header"/>
    <w:basedOn w:val="a"/>
    <w:link w:val="aa"/>
    <w:uiPriority w:val="99"/>
    <w:qFormat/>
    <w:rsid w:val="00D063D7"/>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D063D7"/>
  </w:style>
  <w:style w:type="paragraph" w:styleId="ab">
    <w:name w:val="Subtitle"/>
    <w:basedOn w:val="a"/>
    <w:next w:val="a"/>
    <w:link w:val="ac"/>
    <w:qFormat/>
    <w:rsid w:val="00D063D7"/>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D063D7"/>
    <w:pPr>
      <w:ind w:leftChars="200" w:left="420"/>
    </w:pPr>
  </w:style>
  <w:style w:type="paragraph" w:styleId="ad">
    <w:name w:val="Title"/>
    <w:basedOn w:val="a"/>
    <w:next w:val="a"/>
    <w:link w:val="ae"/>
    <w:qFormat/>
    <w:rsid w:val="00D063D7"/>
    <w:pPr>
      <w:spacing w:before="240" w:after="60"/>
      <w:jc w:val="center"/>
      <w:outlineLvl w:val="0"/>
    </w:pPr>
    <w:rPr>
      <w:rFonts w:ascii="Cambria" w:eastAsia="宋体" w:hAnsi="Cambria"/>
      <w:b/>
      <w:bCs/>
      <w:szCs w:val="32"/>
    </w:rPr>
  </w:style>
  <w:style w:type="character" w:styleId="af">
    <w:name w:val="Strong"/>
    <w:qFormat/>
    <w:rsid w:val="00D063D7"/>
    <w:rPr>
      <w:b/>
      <w:bCs/>
    </w:rPr>
  </w:style>
  <w:style w:type="character" w:styleId="af0">
    <w:name w:val="page number"/>
    <w:basedOn w:val="a0"/>
    <w:qFormat/>
    <w:rsid w:val="00D063D7"/>
  </w:style>
  <w:style w:type="character" w:styleId="af1">
    <w:name w:val="FollowedHyperlink"/>
    <w:qFormat/>
    <w:rsid w:val="00D063D7"/>
    <w:rPr>
      <w:color w:val="800080"/>
      <w:u w:val="single"/>
    </w:rPr>
  </w:style>
  <w:style w:type="character" w:styleId="af2">
    <w:name w:val="Emphasis"/>
    <w:qFormat/>
    <w:rsid w:val="00D063D7"/>
    <w:rPr>
      <w:i/>
      <w:iCs/>
    </w:rPr>
  </w:style>
  <w:style w:type="character" w:styleId="af3">
    <w:name w:val="Hyperlink"/>
    <w:uiPriority w:val="99"/>
    <w:qFormat/>
    <w:rsid w:val="00D063D7"/>
    <w:rPr>
      <w:rFonts w:ascii="ˎ̥" w:hAnsi="ˎ̥" w:hint="default"/>
      <w:color w:val="0404B3"/>
      <w:sz w:val="18"/>
      <w:szCs w:val="18"/>
      <w:u w:val="none"/>
    </w:rPr>
  </w:style>
  <w:style w:type="paragraph" w:customStyle="1" w:styleId="Style20">
    <w:name w:val="_Style 20"/>
    <w:basedOn w:val="1"/>
    <w:next w:val="a"/>
    <w:uiPriority w:val="39"/>
    <w:qFormat/>
    <w:rsid w:val="00D063D7"/>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D063D7"/>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D063D7"/>
    <w:rPr>
      <w:rFonts w:eastAsia="仿宋_GB2312"/>
      <w:kern w:val="2"/>
      <w:sz w:val="18"/>
      <w:szCs w:val="18"/>
    </w:rPr>
  </w:style>
  <w:style w:type="character" w:customStyle="1" w:styleId="a5">
    <w:name w:val="纯文本 字符"/>
    <w:link w:val="a4"/>
    <w:uiPriority w:val="99"/>
    <w:qFormat/>
    <w:rsid w:val="00D063D7"/>
    <w:rPr>
      <w:rFonts w:ascii="宋体" w:hAnsi="Courier New" w:cs="Courier New"/>
      <w:kern w:val="2"/>
      <w:sz w:val="21"/>
      <w:szCs w:val="21"/>
    </w:rPr>
  </w:style>
  <w:style w:type="character" w:customStyle="1" w:styleId="Char1">
    <w:name w:val="纯文本 Char1"/>
    <w:qFormat/>
    <w:rsid w:val="00D063D7"/>
    <w:rPr>
      <w:rFonts w:ascii="宋体" w:hAnsi="Courier New" w:cs="Courier New"/>
      <w:kern w:val="2"/>
      <w:sz w:val="21"/>
      <w:szCs w:val="21"/>
    </w:rPr>
  </w:style>
  <w:style w:type="character" w:customStyle="1" w:styleId="ac">
    <w:name w:val="副标题 字符"/>
    <w:link w:val="ab"/>
    <w:qFormat/>
    <w:rsid w:val="00D063D7"/>
    <w:rPr>
      <w:rFonts w:ascii="Cambria" w:hAnsi="Cambria" w:cs="Times New Roman"/>
      <w:b/>
      <w:bCs/>
      <w:kern w:val="28"/>
      <w:sz w:val="32"/>
      <w:szCs w:val="32"/>
    </w:rPr>
  </w:style>
  <w:style w:type="character" w:customStyle="1" w:styleId="10">
    <w:name w:val="标题 1 字符"/>
    <w:link w:val="1"/>
    <w:qFormat/>
    <w:rsid w:val="00D063D7"/>
    <w:rPr>
      <w:rFonts w:eastAsia="仿宋_GB2312"/>
      <w:b/>
      <w:bCs/>
      <w:kern w:val="44"/>
      <w:sz w:val="44"/>
      <w:szCs w:val="44"/>
    </w:rPr>
  </w:style>
  <w:style w:type="character" w:customStyle="1" w:styleId="ae">
    <w:name w:val="标题 字符"/>
    <w:link w:val="ad"/>
    <w:qFormat/>
    <w:rsid w:val="00D063D7"/>
    <w:rPr>
      <w:rFonts w:ascii="Cambria" w:hAnsi="Cambria" w:cs="Times New Roman"/>
      <w:b/>
      <w:bCs/>
      <w:kern w:val="2"/>
      <w:sz w:val="32"/>
      <w:szCs w:val="32"/>
    </w:rPr>
  </w:style>
  <w:style w:type="character" w:customStyle="1" w:styleId="11Char">
    <w:name w:val="1.1 Char"/>
    <w:link w:val="11"/>
    <w:qFormat/>
    <w:rsid w:val="00D063D7"/>
    <w:rPr>
      <w:rFonts w:ascii="Calibri" w:hAnsi="Calibri"/>
      <w:b/>
      <w:bCs/>
      <w:kern w:val="2"/>
      <w:sz w:val="30"/>
      <w:szCs w:val="32"/>
    </w:rPr>
  </w:style>
  <w:style w:type="character" w:customStyle="1" w:styleId="30">
    <w:name w:val="标题 3 字符"/>
    <w:link w:val="3"/>
    <w:semiHidden/>
    <w:qFormat/>
    <w:rsid w:val="00D063D7"/>
    <w:rPr>
      <w:rFonts w:eastAsia="仿宋_GB2312"/>
      <w:b/>
      <w:bCs/>
      <w:kern w:val="2"/>
      <w:sz w:val="32"/>
      <w:szCs w:val="32"/>
    </w:rPr>
  </w:style>
  <w:style w:type="character" w:customStyle="1" w:styleId="20">
    <w:name w:val="标题 2 字符"/>
    <w:link w:val="2"/>
    <w:uiPriority w:val="9"/>
    <w:qFormat/>
    <w:rsid w:val="00D063D7"/>
    <w:rPr>
      <w:rFonts w:ascii="Cambria" w:hAnsi="Cambria"/>
      <w:b/>
      <w:bCs/>
      <w:kern w:val="2"/>
      <w:sz w:val="32"/>
      <w:szCs w:val="32"/>
    </w:rPr>
  </w:style>
  <w:style w:type="character" w:customStyle="1" w:styleId="a8">
    <w:name w:val="页脚 字符"/>
    <w:link w:val="a7"/>
    <w:uiPriority w:val="99"/>
    <w:qFormat/>
    <w:rsid w:val="00D063D7"/>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535</Words>
  <Characters>3053</Characters>
  <Application>Microsoft Office Word</Application>
  <DocSecurity>0</DocSecurity>
  <Lines>25</Lines>
  <Paragraphs>7</Paragraphs>
  <ScaleCrop>false</ScaleCrop>
  <Company>Lenovo</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2025-08-20T09:42:00Z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